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E9A" w:rsidRDefault="00105E9A" w:rsidP="00DD3AED">
      <w:pPr>
        <w:shd w:val="clear" w:color="auto" w:fill="FFFFFF"/>
        <w:spacing w:before="100" w:beforeAutospacing="1" w:after="168"/>
        <w:ind w:left="-450"/>
        <w:jc w:val="center"/>
        <w:rPr>
          <w:b/>
          <w:sz w:val="36"/>
          <w:szCs w:val="36"/>
        </w:rPr>
      </w:pPr>
    </w:p>
    <w:p w:rsidR="001671AA" w:rsidRPr="006F60F2" w:rsidRDefault="008A37BA" w:rsidP="00E0050D">
      <w:pPr>
        <w:shd w:val="clear" w:color="auto" w:fill="FFFFFF"/>
        <w:spacing w:before="100" w:beforeAutospacing="1" w:after="168"/>
        <w:ind w:left="-450"/>
        <w:jc w:val="center"/>
        <w:rPr>
          <w:rFonts w:cstheme="minorHAnsi"/>
          <w:b/>
          <w:sz w:val="36"/>
          <w:szCs w:val="36"/>
        </w:rPr>
      </w:pPr>
      <w:r w:rsidRPr="006F60F2">
        <w:rPr>
          <w:rFonts w:cstheme="minorHAnsi"/>
          <w:b/>
          <w:sz w:val="36"/>
          <w:szCs w:val="36"/>
        </w:rPr>
        <w:t xml:space="preserve">Third Annual Women’s Heritage Walk </w:t>
      </w:r>
      <w:proofErr w:type="spellStart"/>
      <w:r w:rsidRPr="006F60F2">
        <w:rPr>
          <w:rFonts w:cstheme="minorHAnsi"/>
          <w:b/>
          <w:sz w:val="36"/>
          <w:szCs w:val="36"/>
        </w:rPr>
        <w:t>Honours</w:t>
      </w:r>
      <w:proofErr w:type="spellEnd"/>
      <w:r w:rsidRPr="006F60F2">
        <w:rPr>
          <w:rFonts w:cstheme="minorHAnsi"/>
          <w:b/>
          <w:sz w:val="36"/>
          <w:szCs w:val="36"/>
        </w:rPr>
        <w:t xml:space="preserve"> the </w:t>
      </w:r>
      <w:r w:rsidR="00460AB0">
        <w:rPr>
          <w:rFonts w:cstheme="minorHAnsi"/>
          <w:b/>
          <w:sz w:val="36"/>
          <w:szCs w:val="36"/>
        </w:rPr>
        <w:t>Legacies</w:t>
      </w:r>
      <w:r w:rsidRPr="006F60F2">
        <w:rPr>
          <w:rFonts w:cstheme="minorHAnsi"/>
          <w:b/>
          <w:sz w:val="36"/>
          <w:szCs w:val="36"/>
        </w:rPr>
        <w:t xml:space="preserve"> and Traditions of the </w:t>
      </w:r>
      <w:r w:rsidR="00460AB0">
        <w:rPr>
          <w:rFonts w:cstheme="minorHAnsi"/>
          <w:b/>
          <w:sz w:val="36"/>
          <w:szCs w:val="36"/>
        </w:rPr>
        <w:t xml:space="preserve">Women of the </w:t>
      </w:r>
      <w:r w:rsidRPr="006F60F2">
        <w:rPr>
          <w:rFonts w:cstheme="minorHAnsi"/>
          <w:b/>
          <w:sz w:val="36"/>
          <w:szCs w:val="36"/>
        </w:rPr>
        <w:t xml:space="preserve">UAE </w:t>
      </w:r>
    </w:p>
    <w:p w:rsidR="00736597" w:rsidRPr="006F60F2" w:rsidRDefault="00F01FA8" w:rsidP="00C327B1">
      <w:pPr>
        <w:shd w:val="clear" w:color="auto" w:fill="FFFFFF"/>
        <w:spacing w:before="100" w:beforeAutospacing="1" w:after="168" w:line="360" w:lineRule="auto"/>
        <w:contextualSpacing/>
        <w:jc w:val="center"/>
        <w:rPr>
          <w:rFonts w:cstheme="minorHAnsi"/>
          <w:i/>
          <w:iCs/>
          <w:sz w:val="24"/>
        </w:rPr>
      </w:pPr>
      <w:r>
        <w:rPr>
          <w:rFonts w:cstheme="minorHAnsi"/>
          <w:i/>
          <w:iCs/>
          <w:sz w:val="24"/>
        </w:rPr>
        <w:t>W</w:t>
      </w:r>
      <w:r w:rsidRPr="00F01FA8">
        <w:rPr>
          <w:rFonts w:cstheme="minorHAnsi"/>
          <w:i/>
          <w:iCs/>
          <w:sz w:val="24"/>
        </w:rPr>
        <w:t>alking in the footsteps of their ancestors</w:t>
      </w:r>
      <w:r>
        <w:rPr>
          <w:rFonts w:cstheme="minorHAnsi"/>
          <w:i/>
          <w:iCs/>
          <w:sz w:val="24"/>
        </w:rPr>
        <w:t xml:space="preserve">, </w:t>
      </w:r>
      <w:r w:rsidR="00C327B1">
        <w:rPr>
          <w:rFonts w:cstheme="minorHAnsi"/>
          <w:i/>
          <w:iCs/>
          <w:sz w:val="24"/>
        </w:rPr>
        <w:t>fifty</w:t>
      </w:r>
      <w:r w:rsidR="006F60F2" w:rsidRPr="006F60F2">
        <w:rPr>
          <w:rFonts w:cstheme="minorHAnsi"/>
          <w:i/>
          <w:iCs/>
          <w:sz w:val="24"/>
        </w:rPr>
        <w:t xml:space="preserve"> women will embark upon the 120 kilometre journey from Al Ain to Abu Dhabi </w:t>
      </w:r>
    </w:p>
    <w:p w:rsidR="00E22729" w:rsidRDefault="00105E9A" w:rsidP="00E0050D">
      <w:pPr>
        <w:shd w:val="clear" w:color="auto" w:fill="FFFFFF"/>
        <w:spacing w:before="100" w:beforeAutospacing="1" w:after="168" w:line="360" w:lineRule="auto"/>
        <w:ind w:left="-450"/>
        <w:jc w:val="both"/>
        <w:rPr>
          <w:bCs/>
          <w:iCs/>
        </w:rPr>
      </w:pPr>
      <w:r w:rsidRPr="00967FB0">
        <w:rPr>
          <w:b/>
          <w:bCs/>
          <w:i/>
          <w:iCs/>
        </w:rPr>
        <w:t xml:space="preserve">Abu Dhabi, </w:t>
      </w:r>
      <w:r>
        <w:rPr>
          <w:b/>
          <w:bCs/>
          <w:i/>
          <w:iCs/>
        </w:rPr>
        <w:t>UAE</w:t>
      </w:r>
      <w:r w:rsidRPr="00967FB0">
        <w:rPr>
          <w:b/>
          <w:bCs/>
          <w:i/>
          <w:iCs/>
        </w:rPr>
        <w:t xml:space="preserve">: </w:t>
      </w:r>
      <w:r w:rsidR="009A0664">
        <w:rPr>
          <w:b/>
          <w:bCs/>
          <w:i/>
          <w:iCs/>
        </w:rPr>
        <w:t>08</w:t>
      </w:r>
      <w:r w:rsidR="00460AB0">
        <w:rPr>
          <w:b/>
          <w:bCs/>
          <w:i/>
          <w:iCs/>
        </w:rPr>
        <w:t xml:space="preserve"> Februa</w:t>
      </w:r>
      <w:r>
        <w:rPr>
          <w:b/>
          <w:bCs/>
          <w:i/>
          <w:iCs/>
        </w:rPr>
        <w:t>ry 2017:</w:t>
      </w:r>
      <w:r w:rsidR="00A61B6B">
        <w:rPr>
          <w:b/>
          <w:bCs/>
          <w:i/>
          <w:iCs/>
        </w:rPr>
        <w:t xml:space="preserve"> </w:t>
      </w:r>
      <w:r w:rsidR="00460AB0" w:rsidRPr="00460AB0">
        <w:rPr>
          <w:bCs/>
          <w:iCs/>
        </w:rPr>
        <w:t>On 9</w:t>
      </w:r>
      <w:r w:rsidR="00460AB0" w:rsidRPr="00460AB0">
        <w:rPr>
          <w:bCs/>
          <w:iCs/>
          <w:vertAlign w:val="superscript"/>
        </w:rPr>
        <w:t>th</w:t>
      </w:r>
      <w:r w:rsidR="00460AB0" w:rsidRPr="00460AB0">
        <w:rPr>
          <w:bCs/>
          <w:iCs/>
        </w:rPr>
        <w:t xml:space="preserve"> February 2017</w:t>
      </w:r>
      <w:r w:rsidR="00460AB0">
        <w:rPr>
          <w:bCs/>
          <w:iCs/>
        </w:rPr>
        <w:t xml:space="preserve">, </w:t>
      </w:r>
      <w:r w:rsidR="0048453A">
        <w:rPr>
          <w:bCs/>
          <w:iCs/>
        </w:rPr>
        <w:t>fifty</w:t>
      </w:r>
      <w:r w:rsidR="00460AB0">
        <w:rPr>
          <w:bCs/>
          <w:iCs/>
        </w:rPr>
        <w:t xml:space="preserve"> women will begin an historical journey, tracing the footsteps of generations of Emirati women along the 120-kilometre trek from Al Ain to Abu Dhabi</w:t>
      </w:r>
      <w:r w:rsidR="0048453A">
        <w:rPr>
          <w:bCs/>
          <w:iCs/>
        </w:rPr>
        <w:t xml:space="preserve"> through the desert</w:t>
      </w:r>
      <w:r w:rsidR="00460AB0">
        <w:rPr>
          <w:bCs/>
          <w:iCs/>
        </w:rPr>
        <w:t xml:space="preserve">. The third annual Women’s Heritage Walk </w:t>
      </w:r>
      <w:proofErr w:type="spellStart"/>
      <w:r w:rsidR="00460AB0">
        <w:rPr>
          <w:bCs/>
          <w:iCs/>
        </w:rPr>
        <w:t>honours</w:t>
      </w:r>
      <w:proofErr w:type="spellEnd"/>
      <w:r w:rsidR="00460AB0">
        <w:rPr>
          <w:bCs/>
          <w:iCs/>
        </w:rPr>
        <w:t xml:space="preserve"> the traditions and customs of the UAE by following an ancient path that was travelled twice a year, offering a unique perspective into the sights, smells, sounds, tastes and experiences of </w:t>
      </w:r>
      <w:r w:rsidR="00331193">
        <w:rPr>
          <w:bCs/>
          <w:iCs/>
        </w:rPr>
        <w:t xml:space="preserve">Emirati </w:t>
      </w:r>
      <w:r w:rsidR="00F01FA8">
        <w:rPr>
          <w:bCs/>
          <w:iCs/>
        </w:rPr>
        <w:t>culture</w:t>
      </w:r>
      <w:r w:rsidR="00460AB0">
        <w:rPr>
          <w:bCs/>
          <w:iCs/>
        </w:rPr>
        <w:t xml:space="preserve">. </w:t>
      </w:r>
      <w:r w:rsidR="00E22729">
        <w:rPr>
          <w:bCs/>
          <w:iCs/>
        </w:rPr>
        <w:t>The initiative is supported by Abu Dhabi Tourism &amp; Culture Authority (TCA Abu Dhabi) as part of its mission to support</w:t>
      </w:r>
      <w:r w:rsidR="00E22729" w:rsidRPr="00E22729">
        <w:rPr>
          <w:bCs/>
          <w:iCs/>
        </w:rPr>
        <w:t xml:space="preserve"> intellectual and artistic activities and cultural events to nurture a rich cultural environment and honour the emirate’s heritage</w:t>
      </w:r>
      <w:r w:rsidR="00E22729">
        <w:rPr>
          <w:bCs/>
          <w:iCs/>
        </w:rPr>
        <w:t xml:space="preserve">. </w:t>
      </w:r>
      <w:r w:rsidR="00E22729" w:rsidRPr="00E22729">
        <w:rPr>
          <w:bCs/>
          <w:iCs/>
        </w:rPr>
        <w:t xml:space="preserve"> </w:t>
      </w:r>
    </w:p>
    <w:p w:rsidR="00057504" w:rsidRDefault="00057504" w:rsidP="00E0050D">
      <w:pPr>
        <w:shd w:val="clear" w:color="auto" w:fill="FFFFFF"/>
        <w:spacing w:before="100" w:beforeAutospacing="1" w:after="168" w:line="360" w:lineRule="auto"/>
        <w:ind w:left="-450"/>
        <w:jc w:val="both"/>
      </w:pPr>
      <w:proofErr w:type="spellStart"/>
      <w:r>
        <w:t>Bodour</w:t>
      </w:r>
      <w:proofErr w:type="spellEnd"/>
      <w:r>
        <w:t xml:space="preserve"> Al T</w:t>
      </w:r>
      <w:r w:rsidR="00F01FA8">
        <w:t>a</w:t>
      </w:r>
      <w:r w:rsidR="00E454CB">
        <w:t>mimi, UAE Ambassador for</w:t>
      </w:r>
      <w:r>
        <w:t xml:space="preserve"> Women’s Heritage Walk said: “Since my first time embarking on this historic journey in 2015, I have been in awe of the strength and courage of the women who endured the harsh </w:t>
      </w:r>
      <w:r w:rsidR="00B50BE2">
        <w:t xml:space="preserve">conditions of the walk through the dunes twice a year. Their strength gives me great hope for the potential of women all around the world, the effect of their satisfaction and happiness has on society, and how much they can accomplish when they have confidence in themselves.”  </w:t>
      </w:r>
    </w:p>
    <w:p w:rsidR="00E22729" w:rsidRDefault="00E22729" w:rsidP="00E454CB">
      <w:pPr>
        <w:shd w:val="clear" w:color="auto" w:fill="FFFFFF"/>
        <w:spacing w:before="100" w:beforeAutospacing="1" w:after="168" w:line="360" w:lineRule="auto"/>
        <w:ind w:left="-450"/>
        <w:jc w:val="both"/>
      </w:pPr>
      <w:r>
        <w:t xml:space="preserve">Departing from Al Ain </w:t>
      </w:r>
      <w:r w:rsidR="00E454CB">
        <w:t>National</w:t>
      </w:r>
      <w:r w:rsidR="0048453A">
        <w:t xml:space="preserve"> </w:t>
      </w:r>
      <w:r>
        <w:t>Museum on Thursday 9</w:t>
      </w:r>
      <w:r w:rsidRPr="00405B66">
        <w:rPr>
          <w:vertAlign w:val="superscript"/>
        </w:rPr>
        <w:t>th</w:t>
      </w:r>
      <w:r>
        <w:t xml:space="preserve"> February the women, of v</w:t>
      </w:r>
      <w:r w:rsidRPr="00405B66">
        <w:t>arious nationalities</w:t>
      </w:r>
      <w:r>
        <w:t xml:space="preserve">, will walk through Al Ain’s historic </w:t>
      </w:r>
      <w:r w:rsidR="0048453A">
        <w:t>O</w:t>
      </w:r>
      <w:r>
        <w:t xml:space="preserve">asis, a UNESCO World Heritage Site, before venturing out beyond the city and into the desert. They will take part in traditional handicraft workshops </w:t>
      </w:r>
      <w:r w:rsidR="0048453A">
        <w:t xml:space="preserve">in their desert camps </w:t>
      </w:r>
      <w:r>
        <w:t>and</w:t>
      </w:r>
      <w:r w:rsidR="0048453A">
        <w:t xml:space="preserve"> will </w:t>
      </w:r>
      <w:r>
        <w:t>learn more about Emirati customs and traditions at difference stages along the journey.</w:t>
      </w:r>
    </w:p>
    <w:p w:rsidR="00E22729" w:rsidRDefault="0048453A" w:rsidP="00B50BE2">
      <w:pPr>
        <w:shd w:val="clear" w:color="auto" w:fill="FFFFFF"/>
        <w:spacing w:before="100" w:beforeAutospacing="1" w:after="168" w:line="360" w:lineRule="auto"/>
        <w:ind w:left="-450"/>
        <w:jc w:val="both"/>
      </w:pPr>
      <w:r>
        <w:t>Ranya Nasser</w:t>
      </w:r>
      <w:r w:rsidR="00E22729">
        <w:t xml:space="preserve">, </w:t>
      </w:r>
      <w:r>
        <w:t xml:space="preserve">Head of Education Programmes and Initiatives at </w:t>
      </w:r>
      <w:r w:rsidR="00E22729">
        <w:t xml:space="preserve">TCA Abu Dhabi said: “This journey from Al Ain to Abu Dhabi </w:t>
      </w:r>
      <w:r w:rsidR="00331193">
        <w:t>is i</w:t>
      </w:r>
      <w:r w:rsidR="00E22729">
        <w:t xml:space="preserve">n line with TCA Abu Dhabi’s continuing </w:t>
      </w:r>
      <w:r w:rsidR="00331193">
        <w:t xml:space="preserve">commitment to </w:t>
      </w:r>
      <w:r w:rsidR="00331193" w:rsidRPr="00331193">
        <w:t>increasing community engagement and understanding of the intangible cultural heritage elements</w:t>
      </w:r>
      <w:r w:rsidR="00331193">
        <w:t xml:space="preserve"> that are at the core of Emirati identity. Throughout the journey the participants will witness the intangible aspects of Emirati heritage firsthand, gaining insights into local traditions and rituals </w:t>
      </w:r>
      <w:r w:rsidR="001B0BA6">
        <w:t xml:space="preserve">through </w:t>
      </w:r>
      <w:r w:rsidR="00331193">
        <w:t xml:space="preserve">interactive workshops. Beginning this journey in Al Ain Oasis, a UNESCO World Heritage Site reinforces </w:t>
      </w:r>
      <w:r w:rsidR="00331193" w:rsidRPr="00331193">
        <w:t>the history and significance of the oases as a key trading point for our ancestors.</w:t>
      </w:r>
      <w:r w:rsidR="00331193">
        <w:t xml:space="preserve">” </w:t>
      </w:r>
    </w:p>
    <w:p w:rsidR="00B50BE2" w:rsidRDefault="00B50BE2" w:rsidP="00B50BE2">
      <w:pPr>
        <w:shd w:val="clear" w:color="auto" w:fill="FFFFFF"/>
        <w:spacing w:before="100" w:beforeAutospacing="1" w:after="168" w:line="360" w:lineRule="auto"/>
        <w:ind w:left="-450"/>
        <w:jc w:val="both"/>
      </w:pPr>
      <w:r>
        <w:rPr>
          <w:bCs/>
          <w:iCs/>
        </w:rPr>
        <w:lastRenderedPageBreak/>
        <w:t xml:space="preserve">The Emirati and expatriate women taking part in the 2017 Women’s Heritage Walk have trained six days a week for the past three months in preparation for this </w:t>
      </w:r>
      <w:r w:rsidR="005F784E">
        <w:rPr>
          <w:bCs/>
          <w:iCs/>
        </w:rPr>
        <w:t>six</w:t>
      </w:r>
      <w:r>
        <w:rPr>
          <w:bCs/>
          <w:iCs/>
        </w:rPr>
        <w:t>-</w:t>
      </w:r>
      <w:r>
        <w:t xml:space="preserve">day trek through some challenging terrains. This challenge is not only a way of commemorating the traditions of Emirati culture, it is also a catalyst for a healthy lifestyle, encouraging the participants to step out of their comfort zones and providing a genuine sense of achievement.  </w:t>
      </w:r>
    </w:p>
    <w:p w:rsidR="00B50BE2" w:rsidRDefault="008A65EA" w:rsidP="00F764CC">
      <w:pPr>
        <w:shd w:val="clear" w:color="auto" w:fill="FFFFFF"/>
        <w:spacing w:before="100" w:beforeAutospacing="1" w:after="168" w:line="360" w:lineRule="auto"/>
        <w:ind w:left="-450"/>
        <w:jc w:val="both"/>
      </w:pPr>
      <w:r>
        <w:t xml:space="preserve">They will </w:t>
      </w:r>
      <w:r w:rsidR="00405B66">
        <w:t>arrive in Abu Dhabi on 14</w:t>
      </w:r>
      <w:r w:rsidR="00405B66" w:rsidRPr="00405B66">
        <w:rPr>
          <w:vertAlign w:val="superscript"/>
        </w:rPr>
        <w:t>th</w:t>
      </w:r>
      <w:r w:rsidR="00405B66">
        <w:t xml:space="preserve"> February</w:t>
      </w:r>
      <w:r>
        <w:t xml:space="preserve"> where they will be welcomed with a celebration in Umm Al Emarat Park.</w:t>
      </w:r>
      <w:r w:rsidR="00405B66">
        <w:t xml:space="preserve">   </w:t>
      </w:r>
    </w:p>
    <w:p w:rsidR="00105E9A" w:rsidRDefault="00AA3AC1" w:rsidP="00405B66">
      <w:pPr>
        <w:shd w:val="clear" w:color="auto" w:fill="FFFFFF"/>
        <w:spacing w:before="100" w:beforeAutospacing="1" w:after="168" w:line="360" w:lineRule="auto"/>
        <w:ind w:left="-450"/>
      </w:pPr>
      <w:r>
        <w:t>Further details</w:t>
      </w:r>
      <w:r w:rsidR="0059470A">
        <w:t xml:space="preserve"> and the</w:t>
      </w:r>
      <w:r>
        <w:t xml:space="preserve"> full programme of eve</w:t>
      </w:r>
      <w:r w:rsidR="009A0664">
        <w:t xml:space="preserve">nts and timings can be found at </w:t>
      </w:r>
      <w:bookmarkStart w:id="0" w:name="_GoBack"/>
      <w:bookmarkEnd w:id="0"/>
      <w:r w:rsidR="00C0439E" w:rsidRPr="009A0664">
        <w:fldChar w:fldCharType="begin"/>
      </w:r>
      <w:r w:rsidR="00C0439E" w:rsidRPr="009A0664">
        <w:instrText xml:space="preserve"> HYPERLINK "http://www.womensheritagewalk.com/" </w:instrText>
      </w:r>
      <w:r w:rsidR="00C0439E" w:rsidRPr="009A0664">
        <w:fldChar w:fldCharType="separate"/>
      </w:r>
      <w:r w:rsidR="00405B66" w:rsidRPr="009A0664">
        <w:rPr>
          <w:rStyle w:val="Hyperlink"/>
        </w:rPr>
        <w:t>http://www.womensheritagewalk.com/</w:t>
      </w:r>
      <w:r w:rsidR="00C0439E" w:rsidRPr="009A0664">
        <w:rPr>
          <w:rStyle w:val="Hyperlink"/>
        </w:rPr>
        <w:fldChar w:fldCharType="end"/>
      </w:r>
      <w:r w:rsidR="00405B66">
        <w:t xml:space="preserve"> </w:t>
      </w:r>
    </w:p>
    <w:p w:rsidR="00105E9A" w:rsidRPr="001B5839" w:rsidRDefault="00105E9A" w:rsidP="00105E9A">
      <w:pPr>
        <w:shd w:val="clear" w:color="auto" w:fill="FFFFFF"/>
        <w:spacing w:before="100" w:beforeAutospacing="1" w:after="168" w:line="360" w:lineRule="auto"/>
        <w:ind w:left="-450"/>
        <w:jc w:val="center"/>
      </w:pPr>
      <w:r>
        <w:t>ENDS</w:t>
      </w:r>
    </w:p>
    <w:p w:rsidR="00105E9A" w:rsidRPr="001B5839" w:rsidRDefault="00105E9A" w:rsidP="00105E9A">
      <w:pPr>
        <w:ind w:left="-450"/>
        <w:rPr>
          <w:rFonts w:eastAsia="Calibri" w:cstheme="minorHAnsi"/>
          <w:b/>
          <w:bCs/>
          <w:u w:val="single"/>
        </w:rPr>
      </w:pPr>
      <w:r w:rsidRPr="001B5839">
        <w:rPr>
          <w:rFonts w:eastAsia="Calibri" w:cstheme="minorHAnsi"/>
          <w:b/>
          <w:bCs/>
          <w:u w:val="single"/>
        </w:rPr>
        <w:t>ABOUT ABU DHABI TOURISM &amp; CULTURE AUTHORITY (TCA Abu Dhabi)</w:t>
      </w:r>
    </w:p>
    <w:p w:rsidR="00105E9A" w:rsidRPr="001B5839" w:rsidRDefault="00105E9A" w:rsidP="00405B66">
      <w:pPr>
        <w:ind w:left="-450"/>
        <w:jc w:val="both"/>
        <w:rPr>
          <w:rFonts w:eastAsia="Calibri" w:cstheme="minorHAnsi"/>
          <w:bCs/>
        </w:rPr>
      </w:pPr>
      <w:r w:rsidRPr="001B5839">
        <w:rPr>
          <w:rFonts w:eastAsia="Calibri" w:cstheme="minorHAnsi"/>
          <w:bCs/>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Museum and Guggenheim Abu Dhabi. TCA Abu Dhabi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rsidR="00105E9A" w:rsidRPr="001B5839" w:rsidRDefault="00C0439E" w:rsidP="00105E9A">
      <w:pPr>
        <w:ind w:left="-450"/>
        <w:rPr>
          <w:rStyle w:val="Hyperlink"/>
        </w:rPr>
      </w:pPr>
      <w:hyperlink r:id="rId7" w:history="1">
        <w:r w:rsidR="00105E9A" w:rsidRPr="001B5839">
          <w:rPr>
            <w:rStyle w:val="Hyperlink"/>
            <w:rFonts w:eastAsia="Calibri" w:cstheme="minorHAnsi"/>
            <w:bCs/>
          </w:rPr>
          <w:t>http://tcaabudhabi.ae/en</w:t>
        </w:r>
      </w:hyperlink>
    </w:p>
    <w:p w:rsidR="00F50FAA" w:rsidRDefault="00AA3AC1" w:rsidP="00F764CC">
      <w:pPr>
        <w:shd w:val="clear" w:color="auto" w:fill="FFFFFF"/>
        <w:spacing w:before="100" w:beforeAutospacing="1" w:after="168" w:line="360" w:lineRule="auto"/>
        <w:ind w:left="-450"/>
        <w:jc w:val="both"/>
      </w:pPr>
      <w:r>
        <w:t xml:space="preserve"> </w:t>
      </w:r>
    </w:p>
    <w:sectPr w:rsidR="00F50FAA" w:rsidSect="004469E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39E" w:rsidRDefault="00C0439E" w:rsidP="00105E9A">
      <w:pPr>
        <w:spacing w:after="0" w:line="240" w:lineRule="auto"/>
      </w:pPr>
      <w:r>
        <w:separator/>
      </w:r>
    </w:p>
  </w:endnote>
  <w:endnote w:type="continuationSeparator" w:id="0">
    <w:p w:rsidR="00C0439E" w:rsidRDefault="00C0439E" w:rsidP="00105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39E" w:rsidRDefault="00C0439E" w:rsidP="00105E9A">
      <w:pPr>
        <w:spacing w:after="0" w:line="240" w:lineRule="auto"/>
      </w:pPr>
      <w:r>
        <w:separator/>
      </w:r>
    </w:p>
  </w:footnote>
  <w:footnote w:type="continuationSeparator" w:id="0">
    <w:p w:rsidR="00C0439E" w:rsidRDefault="00C0439E" w:rsidP="00105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E9A" w:rsidRDefault="00105E9A">
    <w:pPr>
      <w:pStyle w:val="Header"/>
    </w:pPr>
    <w:r w:rsidRPr="00945864">
      <w:rPr>
        <w:rFonts w:ascii="Simplified Arabic" w:hAnsi="Simplified Arabic" w:cs="Simplified Arabic"/>
        <w:b/>
        <w:bCs/>
        <w:noProof/>
        <w:rtl/>
      </w:rPr>
      <w:drawing>
        <wp:anchor distT="0" distB="0" distL="114300" distR="114300" simplePos="0" relativeHeight="251659264" behindDoc="1" locked="0" layoutInCell="1" allowOverlap="1">
          <wp:simplePos x="0" y="0"/>
          <wp:positionH relativeFrom="column">
            <wp:posOffset>4676775</wp:posOffset>
          </wp:positionH>
          <wp:positionV relativeFrom="paragraph">
            <wp:posOffset>-285750</wp:posOffset>
          </wp:positionV>
          <wp:extent cx="1419225" cy="793750"/>
          <wp:effectExtent l="0" t="0" r="9525" b="6350"/>
          <wp:wrapTight wrapText="bothSides">
            <wp:wrapPolygon edited="0">
              <wp:start x="0" y="0"/>
              <wp:lineTo x="0" y="21254"/>
              <wp:lineTo x="21455" y="21254"/>
              <wp:lineTo x="2145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A Logo Horizont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9225" cy="7937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F61A8"/>
    <w:multiLevelType w:val="hybridMultilevel"/>
    <w:tmpl w:val="4ACC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31748"/>
    <w:multiLevelType w:val="hybridMultilevel"/>
    <w:tmpl w:val="5EF673AE"/>
    <w:lvl w:ilvl="0" w:tplc="1354BE4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DA30F10"/>
    <w:multiLevelType w:val="hybridMultilevel"/>
    <w:tmpl w:val="2DCA1ABE"/>
    <w:lvl w:ilvl="0" w:tplc="08090001">
      <w:start w:val="1"/>
      <w:numFmt w:val="bullet"/>
      <w:lvlText w:val=""/>
      <w:lvlJc w:val="left"/>
      <w:pPr>
        <w:ind w:left="270" w:hanging="360"/>
      </w:pPr>
      <w:rPr>
        <w:rFonts w:ascii="Symbol" w:hAnsi="Symbol" w:hint="default"/>
      </w:rPr>
    </w:lvl>
    <w:lvl w:ilvl="1" w:tplc="08090003" w:tentative="1">
      <w:start w:val="1"/>
      <w:numFmt w:val="bullet"/>
      <w:lvlText w:val="o"/>
      <w:lvlJc w:val="left"/>
      <w:pPr>
        <w:ind w:left="990" w:hanging="360"/>
      </w:pPr>
      <w:rPr>
        <w:rFonts w:ascii="Courier New" w:hAnsi="Courier New" w:cs="Courier New" w:hint="default"/>
      </w:rPr>
    </w:lvl>
    <w:lvl w:ilvl="2" w:tplc="08090005" w:tentative="1">
      <w:start w:val="1"/>
      <w:numFmt w:val="bullet"/>
      <w:lvlText w:val=""/>
      <w:lvlJc w:val="left"/>
      <w:pPr>
        <w:ind w:left="1710" w:hanging="360"/>
      </w:pPr>
      <w:rPr>
        <w:rFonts w:ascii="Wingdings" w:hAnsi="Wingdings" w:hint="default"/>
      </w:rPr>
    </w:lvl>
    <w:lvl w:ilvl="3" w:tplc="08090001" w:tentative="1">
      <w:start w:val="1"/>
      <w:numFmt w:val="bullet"/>
      <w:lvlText w:val=""/>
      <w:lvlJc w:val="left"/>
      <w:pPr>
        <w:ind w:left="2430" w:hanging="360"/>
      </w:pPr>
      <w:rPr>
        <w:rFonts w:ascii="Symbol" w:hAnsi="Symbol" w:hint="default"/>
      </w:rPr>
    </w:lvl>
    <w:lvl w:ilvl="4" w:tplc="08090003" w:tentative="1">
      <w:start w:val="1"/>
      <w:numFmt w:val="bullet"/>
      <w:lvlText w:val="o"/>
      <w:lvlJc w:val="left"/>
      <w:pPr>
        <w:ind w:left="3150" w:hanging="360"/>
      </w:pPr>
      <w:rPr>
        <w:rFonts w:ascii="Courier New" w:hAnsi="Courier New" w:cs="Courier New" w:hint="default"/>
      </w:rPr>
    </w:lvl>
    <w:lvl w:ilvl="5" w:tplc="08090005" w:tentative="1">
      <w:start w:val="1"/>
      <w:numFmt w:val="bullet"/>
      <w:lvlText w:val=""/>
      <w:lvlJc w:val="left"/>
      <w:pPr>
        <w:ind w:left="3870" w:hanging="360"/>
      </w:pPr>
      <w:rPr>
        <w:rFonts w:ascii="Wingdings" w:hAnsi="Wingdings" w:hint="default"/>
      </w:rPr>
    </w:lvl>
    <w:lvl w:ilvl="6" w:tplc="08090001" w:tentative="1">
      <w:start w:val="1"/>
      <w:numFmt w:val="bullet"/>
      <w:lvlText w:val=""/>
      <w:lvlJc w:val="left"/>
      <w:pPr>
        <w:ind w:left="4590" w:hanging="360"/>
      </w:pPr>
      <w:rPr>
        <w:rFonts w:ascii="Symbol" w:hAnsi="Symbol" w:hint="default"/>
      </w:rPr>
    </w:lvl>
    <w:lvl w:ilvl="7" w:tplc="08090003" w:tentative="1">
      <w:start w:val="1"/>
      <w:numFmt w:val="bullet"/>
      <w:lvlText w:val="o"/>
      <w:lvlJc w:val="left"/>
      <w:pPr>
        <w:ind w:left="5310" w:hanging="360"/>
      </w:pPr>
      <w:rPr>
        <w:rFonts w:ascii="Courier New" w:hAnsi="Courier New" w:cs="Courier New" w:hint="default"/>
      </w:rPr>
    </w:lvl>
    <w:lvl w:ilvl="8" w:tplc="08090005" w:tentative="1">
      <w:start w:val="1"/>
      <w:numFmt w:val="bullet"/>
      <w:lvlText w:val=""/>
      <w:lvlJc w:val="left"/>
      <w:pPr>
        <w:ind w:left="603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AA"/>
    <w:rsid w:val="000154C7"/>
    <w:rsid w:val="00057504"/>
    <w:rsid w:val="00070AAD"/>
    <w:rsid w:val="00105E9A"/>
    <w:rsid w:val="00120546"/>
    <w:rsid w:val="00164226"/>
    <w:rsid w:val="001671AA"/>
    <w:rsid w:val="001B0BA6"/>
    <w:rsid w:val="001B1009"/>
    <w:rsid w:val="001C5C91"/>
    <w:rsid w:val="001F3405"/>
    <w:rsid w:val="0021179E"/>
    <w:rsid w:val="00216E0C"/>
    <w:rsid w:val="002545B5"/>
    <w:rsid w:val="002B3476"/>
    <w:rsid w:val="00331193"/>
    <w:rsid w:val="00337D0F"/>
    <w:rsid w:val="003916D8"/>
    <w:rsid w:val="00405B66"/>
    <w:rsid w:val="004121A4"/>
    <w:rsid w:val="00414B0E"/>
    <w:rsid w:val="0043528F"/>
    <w:rsid w:val="004469ED"/>
    <w:rsid w:val="00460AB0"/>
    <w:rsid w:val="00477801"/>
    <w:rsid w:val="0048453A"/>
    <w:rsid w:val="00512D43"/>
    <w:rsid w:val="00525FE6"/>
    <w:rsid w:val="00570BB1"/>
    <w:rsid w:val="005767B7"/>
    <w:rsid w:val="0059470A"/>
    <w:rsid w:val="00595C97"/>
    <w:rsid w:val="005D6253"/>
    <w:rsid w:val="005F784E"/>
    <w:rsid w:val="00606E7C"/>
    <w:rsid w:val="006F60F2"/>
    <w:rsid w:val="00736597"/>
    <w:rsid w:val="00776E71"/>
    <w:rsid w:val="00787B33"/>
    <w:rsid w:val="007A1469"/>
    <w:rsid w:val="007C6647"/>
    <w:rsid w:val="008142B5"/>
    <w:rsid w:val="008148AA"/>
    <w:rsid w:val="00831B50"/>
    <w:rsid w:val="00864D88"/>
    <w:rsid w:val="008651C7"/>
    <w:rsid w:val="008A37BA"/>
    <w:rsid w:val="008A65EA"/>
    <w:rsid w:val="008E2D10"/>
    <w:rsid w:val="008E45D0"/>
    <w:rsid w:val="00902BE4"/>
    <w:rsid w:val="00940AC1"/>
    <w:rsid w:val="009A0664"/>
    <w:rsid w:val="009B3E45"/>
    <w:rsid w:val="00A61B6B"/>
    <w:rsid w:val="00AA3AC1"/>
    <w:rsid w:val="00AF2A1C"/>
    <w:rsid w:val="00B05E75"/>
    <w:rsid w:val="00B50BE2"/>
    <w:rsid w:val="00B61ABF"/>
    <w:rsid w:val="00B94CC3"/>
    <w:rsid w:val="00BA22E1"/>
    <w:rsid w:val="00BC7A24"/>
    <w:rsid w:val="00C01A45"/>
    <w:rsid w:val="00C0439E"/>
    <w:rsid w:val="00C14202"/>
    <w:rsid w:val="00C327B1"/>
    <w:rsid w:val="00C563E4"/>
    <w:rsid w:val="00C80C9A"/>
    <w:rsid w:val="00D86CDF"/>
    <w:rsid w:val="00DA4B45"/>
    <w:rsid w:val="00DD3AED"/>
    <w:rsid w:val="00E0050D"/>
    <w:rsid w:val="00E22729"/>
    <w:rsid w:val="00E454CB"/>
    <w:rsid w:val="00E51FA9"/>
    <w:rsid w:val="00E60E0E"/>
    <w:rsid w:val="00E72A22"/>
    <w:rsid w:val="00E76328"/>
    <w:rsid w:val="00EF25A1"/>
    <w:rsid w:val="00EF549C"/>
    <w:rsid w:val="00F01FA8"/>
    <w:rsid w:val="00F50FAA"/>
    <w:rsid w:val="00F764CC"/>
    <w:rsid w:val="00FC49B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96CD3"/>
  <w15:docId w15:val="{CE961EA1-923C-4EA3-BCC8-73489219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69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FAA"/>
    <w:pPr>
      <w:spacing w:after="0" w:line="240" w:lineRule="auto"/>
      <w:ind w:left="720"/>
    </w:pPr>
    <w:rPr>
      <w:rFonts w:ascii="Times New Roman" w:hAnsi="Times New Roman" w:cs="Times New Roman"/>
      <w:sz w:val="24"/>
      <w:szCs w:val="24"/>
    </w:rPr>
  </w:style>
  <w:style w:type="character" w:styleId="Hyperlink">
    <w:name w:val="Hyperlink"/>
    <w:basedOn w:val="DefaultParagraphFont"/>
    <w:uiPriority w:val="99"/>
    <w:unhideWhenUsed/>
    <w:rsid w:val="00F50FAA"/>
    <w:rPr>
      <w:color w:val="0000FF" w:themeColor="hyperlink"/>
      <w:u w:val="single"/>
    </w:rPr>
  </w:style>
  <w:style w:type="paragraph" w:styleId="BalloonText">
    <w:name w:val="Balloon Text"/>
    <w:basedOn w:val="Normal"/>
    <w:link w:val="BalloonTextChar"/>
    <w:uiPriority w:val="99"/>
    <w:semiHidden/>
    <w:unhideWhenUsed/>
    <w:rsid w:val="00DD3A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AED"/>
    <w:rPr>
      <w:rFonts w:ascii="Tahoma" w:hAnsi="Tahoma" w:cs="Tahoma"/>
      <w:sz w:val="16"/>
      <w:szCs w:val="16"/>
    </w:rPr>
  </w:style>
  <w:style w:type="character" w:styleId="CommentReference">
    <w:name w:val="annotation reference"/>
    <w:basedOn w:val="DefaultParagraphFont"/>
    <w:uiPriority w:val="99"/>
    <w:semiHidden/>
    <w:unhideWhenUsed/>
    <w:rsid w:val="00DD3AED"/>
    <w:rPr>
      <w:sz w:val="16"/>
      <w:szCs w:val="16"/>
    </w:rPr>
  </w:style>
  <w:style w:type="paragraph" w:styleId="CommentText">
    <w:name w:val="annotation text"/>
    <w:basedOn w:val="Normal"/>
    <w:link w:val="CommentTextChar"/>
    <w:uiPriority w:val="99"/>
    <w:semiHidden/>
    <w:unhideWhenUsed/>
    <w:rsid w:val="00DD3AED"/>
    <w:pPr>
      <w:spacing w:line="240" w:lineRule="auto"/>
    </w:pPr>
    <w:rPr>
      <w:sz w:val="20"/>
      <w:szCs w:val="20"/>
    </w:rPr>
  </w:style>
  <w:style w:type="character" w:customStyle="1" w:styleId="CommentTextChar">
    <w:name w:val="Comment Text Char"/>
    <w:basedOn w:val="DefaultParagraphFont"/>
    <w:link w:val="CommentText"/>
    <w:uiPriority w:val="99"/>
    <w:semiHidden/>
    <w:rsid w:val="00DD3AED"/>
    <w:rPr>
      <w:sz w:val="20"/>
      <w:szCs w:val="20"/>
    </w:rPr>
  </w:style>
  <w:style w:type="paragraph" w:styleId="CommentSubject">
    <w:name w:val="annotation subject"/>
    <w:basedOn w:val="CommentText"/>
    <w:next w:val="CommentText"/>
    <w:link w:val="CommentSubjectChar"/>
    <w:uiPriority w:val="99"/>
    <w:semiHidden/>
    <w:unhideWhenUsed/>
    <w:rsid w:val="00DD3AED"/>
    <w:rPr>
      <w:b/>
      <w:bCs/>
    </w:rPr>
  </w:style>
  <w:style w:type="character" w:customStyle="1" w:styleId="CommentSubjectChar">
    <w:name w:val="Comment Subject Char"/>
    <w:basedOn w:val="CommentTextChar"/>
    <w:link w:val="CommentSubject"/>
    <w:uiPriority w:val="99"/>
    <w:semiHidden/>
    <w:rsid w:val="00DD3AED"/>
    <w:rPr>
      <w:b/>
      <w:bCs/>
      <w:sz w:val="20"/>
      <w:szCs w:val="20"/>
    </w:rPr>
  </w:style>
  <w:style w:type="paragraph" w:styleId="Header">
    <w:name w:val="header"/>
    <w:basedOn w:val="Normal"/>
    <w:link w:val="HeaderChar"/>
    <w:uiPriority w:val="99"/>
    <w:unhideWhenUsed/>
    <w:rsid w:val="00105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E9A"/>
  </w:style>
  <w:style w:type="paragraph" w:styleId="Footer">
    <w:name w:val="footer"/>
    <w:basedOn w:val="Normal"/>
    <w:link w:val="FooterChar"/>
    <w:uiPriority w:val="99"/>
    <w:unhideWhenUsed/>
    <w:rsid w:val="00105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99443">
      <w:bodyDiv w:val="1"/>
      <w:marLeft w:val="0"/>
      <w:marRight w:val="0"/>
      <w:marTop w:val="0"/>
      <w:marBottom w:val="0"/>
      <w:divBdr>
        <w:top w:val="none" w:sz="0" w:space="0" w:color="auto"/>
        <w:left w:val="none" w:sz="0" w:space="0" w:color="auto"/>
        <w:bottom w:val="none" w:sz="0" w:space="0" w:color="auto"/>
        <w:right w:val="none" w:sz="0" w:space="0" w:color="auto"/>
      </w:divBdr>
    </w:div>
    <w:div w:id="1295793728">
      <w:bodyDiv w:val="1"/>
      <w:marLeft w:val="0"/>
      <w:marRight w:val="0"/>
      <w:marTop w:val="0"/>
      <w:marBottom w:val="0"/>
      <w:divBdr>
        <w:top w:val="none" w:sz="0" w:space="0" w:color="auto"/>
        <w:left w:val="none" w:sz="0" w:space="0" w:color="auto"/>
        <w:bottom w:val="none" w:sz="0" w:space="0" w:color="auto"/>
        <w:right w:val="none" w:sz="0" w:space="0" w:color="auto"/>
      </w:divBdr>
    </w:div>
    <w:div w:id="18786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caabudhabi.ae/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Stewart Ross</dc:creator>
  <cp:lastModifiedBy>Butt, Laraib</cp:lastModifiedBy>
  <cp:revision>2</cp:revision>
  <cp:lastPrinted>2017-01-31T03:56:00Z</cp:lastPrinted>
  <dcterms:created xsi:type="dcterms:W3CDTF">2017-02-08T09:05:00Z</dcterms:created>
  <dcterms:modified xsi:type="dcterms:W3CDTF">2017-02-08T09:05:00Z</dcterms:modified>
</cp:coreProperties>
</file>